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53260E">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2015</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D23F0F" w:rsidRDefault="00D23F0F">
                  <w:pPr>
                    <w:pStyle w:val="NoSpacing"/>
                    <w:rPr>
                      <w:sz w:val="64"/>
                      <w:szCs w:val="64"/>
                    </w:rPr>
                  </w:pPr>
                  <w:r w:rsidRPr="00D23F0F">
                    <w:rPr>
                      <w:sz w:val="64"/>
                      <w:szCs w:val="64"/>
                    </w:rPr>
                    <w:t>E</w:t>
                  </w:r>
                  <w:r>
                    <w:rPr>
                      <w:sz w:val="64"/>
                      <w:szCs w:val="64"/>
                    </w:rPr>
                    <w:t>thics</w:t>
                  </w:r>
                  <w:r w:rsidRPr="00D23F0F">
                    <w:rPr>
                      <w:sz w:val="64"/>
                      <w:szCs w:val="64"/>
                    </w:rPr>
                    <w:t xml:space="preserve"> </w:t>
                  </w:r>
                  <w:r w:rsidR="0055500B">
                    <w:rPr>
                      <w:sz w:val="64"/>
                      <w:szCs w:val="64"/>
                    </w:rPr>
                    <w:t>R</w:t>
                  </w:r>
                  <w:r>
                    <w:rPr>
                      <w:sz w:val="64"/>
                      <w:szCs w:val="64"/>
                    </w:rPr>
                    <w:t>ed</w:t>
                  </w:r>
                  <w:r w:rsidRPr="00D23F0F">
                    <w:rPr>
                      <w:sz w:val="64"/>
                      <w:szCs w:val="64"/>
                    </w:rPr>
                    <w:t xml:space="preserve"> </w:t>
                  </w:r>
                  <w:r w:rsidR="0055500B">
                    <w:rPr>
                      <w:sz w:val="64"/>
                      <w:szCs w:val="64"/>
                    </w:rPr>
                    <w:t>F</w:t>
                  </w:r>
                  <w:r>
                    <w:rPr>
                      <w:sz w:val="64"/>
                      <w:szCs w:val="64"/>
                    </w:rPr>
                    <w:t>lags</w:t>
                  </w:r>
                  <w:r w:rsidRPr="00D23F0F">
                    <w:rPr>
                      <w:sz w:val="64"/>
                      <w:szCs w:val="64"/>
                    </w:rPr>
                    <w:t xml:space="preserve"> </w:t>
                  </w:r>
                  <w:r>
                    <w:rPr>
                      <w:sz w:val="64"/>
                      <w:szCs w:val="64"/>
                    </w:rPr>
                    <w:t>for</w:t>
                  </w:r>
                  <w:r w:rsidRPr="00D23F0F">
                    <w:rPr>
                      <w:sz w:val="64"/>
                      <w:szCs w:val="64"/>
                    </w:rPr>
                    <w:t xml:space="preserve"> </w:t>
                  </w:r>
                  <w:r w:rsidR="0055500B">
                    <w:rPr>
                      <w:sz w:val="64"/>
                      <w:szCs w:val="64"/>
                    </w:rPr>
                    <w:t>B</w:t>
                  </w:r>
                  <w:r>
                    <w:rPr>
                      <w:sz w:val="64"/>
                      <w:szCs w:val="64"/>
                    </w:rPr>
                    <w:t>oard of</w:t>
                  </w:r>
                  <w:r w:rsidRPr="00D23F0F">
                    <w:rPr>
                      <w:sz w:val="64"/>
                      <w:szCs w:val="64"/>
                    </w:rPr>
                    <w:t xml:space="preserve"> </w:t>
                  </w:r>
                  <w:r>
                    <w:rPr>
                      <w:sz w:val="64"/>
                      <w:szCs w:val="64"/>
                    </w:rPr>
                    <w:t>Directors</w:t>
                  </w:r>
                </w:p>
                <w:p w:rsidR="00696AB3" w:rsidRPr="00D23F0F" w:rsidRDefault="00D23F0F">
                  <w:pPr>
                    <w:pStyle w:val="NoSpacing"/>
                    <w:rPr>
                      <w:sz w:val="40"/>
                      <w:szCs w:val="40"/>
                    </w:rPr>
                  </w:pPr>
                  <w:r>
                    <w:rPr>
                      <w:sz w:val="40"/>
                      <w:szCs w:val="40"/>
                    </w:rPr>
                    <w:t>03</w:t>
                  </w:r>
                  <w:r w:rsidR="00FB169B">
                    <w:rPr>
                      <w:sz w:val="40"/>
                      <w:szCs w:val="40"/>
                    </w:rPr>
                    <w:t xml:space="preserve"> </w:t>
                  </w:r>
                  <w:r w:rsidR="00B93281">
                    <w:rPr>
                      <w:sz w:val="40"/>
                      <w:szCs w:val="40"/>
                    </w:rPr>
                    <w:t>Nov</w:t>
                  </w:r>
                  <w:r w:rsidR="00FB169B">
                    <w:rPr>
                      <w:sz w:val="40"/>
                      <w:szCs w:val="40"/>
                    </w:rPr>
                    <w:t xml:space="preserve"> / 1</w:t>
                  </w:r>
                  <w:r>
                    <w:rPr>
                      <w:sz w:val="40"/>
                      <w:szCs w:val="40"/>
                    </w:rPr>
                    <w:t>6</w:t>
                  </w:r>
                  <w:r w:rsidR="00FB169B">
                    <w:rPr>
                      <w:sz w:val="40"/>
                      <w:szCs w:val="40"/>
                    </w:rPr>
                    <w:t xml:space="preserve"> </w:t>
                  </w:r>
                  <w:r w:rsidR="00B93281">
                    <w:rPr>
                      <w:sz w:val="40"/>
                      <w:szCs w:val="40"/>
                    </w:rPr>
                    <w:t>Dec</w:t>
                  </w:r>
                </w:p>
                <w:p w:rsidR="00696AB3" w:rsidRPr="00696AB3" w:rsidRDefault="00696AB3">
                  <w:pPr>
                    <w:pStyle w:val="NoSpacing"/>
                    <w:rPr>
                      <w:color w:val="FFFFFF"/>
                    </w:rPr>
                  </w:pPr>
                </w:p>
                <w:p w:rsidR="00696AB3" w:rsidRPr="00696AB3" w:rsidRDefault="00D23F0F" w:rsidP="00D23F0F">
                  <w:pPr>
                    <w:pStyle w:val="NoSpacing"/>
                    <w:rPr>
                      <w:color w:val="FFFFFF"/>
                    </w:rPr>
                  </w:pPr>
                  <w:r w:rsidRPr="00D23F0F">
                    <w:t>Corporate Ethics is not an aloof concept but a very real foundation and cornerstone of a corporate business. It underlies the core of a business identity and values and is the driver for every organization quest to build trust, reputation, branding, customer demand, and cost effectiveness and with that market share (revenue growth).</w:t>
                  </w:r>
                </w:p>
              </w:txbxContent>
            </v:textbox>
          </v:rect>
        </w:pict>
      </w:r>
    </w:p>
    <w:p w:rsidR="00696AB3" w:rsidRDefault="00696AB3"/>
    <w:p w:rsidR="00D35263" w:rsidRDefault="0053260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53260E">
      <w:r w:rsidRPr="0053260E">
        <w:rPr>
          <w:rFonts w:asciiTheme="minorHAnsi" w:hAnsiTheme="minorHAnsi"/>
          <w:noProof/>
          <w:lang w:val="en-US"/>
        </w:rPr>
        <w:lastRenderedPageBreak/>
        <w:pict>
          <v:roundrect id="_x0000_s1048" style="position:absolute;margin-left:253.4pt;margin-top:8.6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r w:rsidRPr="0053260E">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D23F0F" w:rsidRPr="00D23F0F" w:rsidRDefault="00D23F0F" w:rsidP="00D23F0F">
      <w:pPr>
        <w:rPr>
          <w:rFonts w:asciiTheme="minorHAnsi" w:hAnsiTheme="minorHAnsi"/>
          <w:sz w:val="20"/>
        </w:rPr>
      </w:pPr>
      <w:r w:rsidRPr="00D23F0F">
        <w:rPr>
          <w:rFonts w:asciiTheme="minorHAnsi" w:hAnsiTheme="minorHAnsi"/>
          <w:sz w:val="20"/>
        </w:rPr>
        <w:t>Corporate Ethics is not an aloof concept but a very real foundation and cornerstone of a corporate business. It underlies the core of a business identity and values and is the driver for every organization quest to build trust, reputation, branding, customer demand, and cost effectiveness and with that market share (revenue growth).</w:t>
      </w:r>
    </w:p>
    <w:p w:rsidR="00D23F0F" w:rsidRPr="00D23F0F" w:rsidRDefault="00D23F0F" w:rsidP="00D23F0F">
      <w:pPr>
        <w:rPr>
          <w:rFonts w:asciiTheme="minorHAnsi" w:hAnsiTheme="minorHAnsi"/>
          <w:sz w:val="20"/>
        </w:rPr>
      </w:pPr>
    </w:p>
    <w:p w:rsidR="00D23F0F" w:rsidRPr="00D23F0F" w:rsidRDefault="00D23F0F" w:rsidP="00D23F0F">
      <w:pPr>
        <w:rPr>
          <w:rFonts w:asciiTheme="minorHAnsi" w:hAnsiTheme="minorHAnsi"/>
          <w:sz w:val="20"/>
        </w:rPr>
      </w:pPr>
      <w:r w:rsidRPr="00D23F0F">
        <w:rPr>
          <w:rFonts w:asciiTheme="minorHAnsi" w:hAnsiTheme="minorHAnsi"/>
          <w:sz w:val="20"/>
        </w:rPr>
        <w:t>Corporate leaders as well employees who do not understand legal requirements and expected business ethics can be a liability rather than a resource. It is vital for organisations to stay current with the changes in the law and business practice.</w:t>
      </w:r>
    </w:p>
    <w:p w:rsidR="00D23F0F" w:rsidRPr="00D23F0F" w:rsidRDefault="00D23F0F" w:rsidP="00D23F0F">
      <w:pPr>
        <w:rPr>
          <w:rFonts w:asciiTheme="minorHAnsi" w:hAnsiTheme="minorHAnsi"/>
          <w:sz w:val="20"/>
        </w:rPr>
      </w:pPr>
    </w:p>
    <w:p w:rsidR="00B26841" w:rsidRDefault="00D23F0F" w:rsidP="00D23F0F">
      <w:pPr>
        <w:rPr>
          <w:rFonts w:asciiTheme="minorHAnsi" w:hAnsiTheme="minorHAnsi"/>
        </w:rPr>
      </w:pPr>
      <w:r w:rsidRPr="00D23F0F">
        <w:rPr>
          <w:rFonts w:asciiTheme="minorHAnsi" w:hAnsiTheme="minorHAnsi"/>
          <w:sz w:val="20"/>
        </w:rPr>
        <w:t>The Code of Corporate Governance &amp; Ethical Conduct is an essential management tool for managing corporate conduct and directing change in work behaviour. It shows members of the industry, business partners and consumers that the company is conducting business in an ethical and professional manner. It also promotes business confidence and long term profitability as well as stresses that Human Behaviour is as important as Finance and Risk Management in ensuring profit.</w:t>
      </w:r>
    </w:p>
    <w:p w:rsidR="00B93281" w:rsidRDefault="0053260E" w:rsidP="003F6F40">
      <w:pPr>
        <w:rPr>
          <w:rFonts w:asciiTheme="minorHAnsi" w:hAnsiTheme="minorHAnsi"/>
        </w:rPr>
      </w:pPr>
      <w:r>
        <w:rPr>
          <w:rFonts w:asciiTheme="minorHAnsi" w:hAnsiTheme="minorHAnsi"/>
          <w:noProof/>
          <w:lang w:val="en-US"/>
        </w:rPr>
        <w:pict>
          <v:roundrect id="_x0000_s1049" style="position:absolute;margin-left:-6.8pt;margin-top:10.6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1969FF" w:rsidRDefault="001969FF" w:rsidP="003F6F40">
      <w:pPr>
        <w:rPr>
          <w:rFonts w:asciiTheme="minorHAnsi" w:hAnsiTheme="minorHAnsi"/>
        </w:rPr>
      </w:pPr>
    </w:p>
    <w:p w:rsidR="00D23F0F" w:rsidRDefault="00D23F0F" w:rsidP="003F6F40">
      <w:pPr>
        <w:rPr>
          <w:rFonts w:asciiTheme="minorHAnsi" w:hAnsiTheme="minorHAnsi"/>
        </w:rPr>
      </w:pPr>
    </w:p>
    <w:p w:rsidR="00B93281" w:rsidRDefault="00D23F0F" w:rsidP="00D23F0F">
      <w:pPr>
        <w:rPr>
          <w:rFonts w:asciiTheme="minorHAnsi" w:hAnsiTheme="minorHAnsi"/>
        </w:rPr>
      </w:pPr>
      <w:r w:rsidRPr="00D23F0F">
        <w:rPr>
          <w:rFonts w:asciiTheme="minorHAnsi" w:hAnsiTheme="minorHAnsi"/>
        </w:rPr>
        <w:t>This half-day facilitation exercise will discuss ethics and the Board and some of the challenges Malaysian Boards face in the course of their work. There will be case studies and situational analysis to better understand the conflicts that come into play when facing ethical dilemmas.</w:t>
      </w:r>
    </w:p>
    <w:p w:rsidR="00D23F0F" w:rsidRDefault="0053260E" w:rsidP="00D23F0F">
      <w:pPr>
        <w:rPr>
          <w:rFonts w:asciiTheme="minorHAnsi" w:hAnsiTheme="minorHAnsi"/>
        </w:rPr>
      </w:pPr>
      <w:r>
        <w:rPr>
          <w:rFonts w:asciiTheme="minorHAnsi" w:hAnsiTheme="minorHAnsi"/>
          <w:noProof/>
          <w:lang w:val="en-US"/>
        </w:rPr>
        <w:pict>
          <v:roundrect id="_x0000_s1130" style="position:absolute;margin-left:-6.8pt;margin-top:8.9pt;width:150.55pt;height:23.4pt;z-index:-251575296" arcsize="10923f">
            <v:shadow on="t" offset="3pt" offset2="2pt"/>
            <v:textbox>
              <w:txbxContent>
                <w:p w:rsidR="00D23F0F" w:rsidRPr="00B93281" w:rsidRDefault="00D23F0F" w:rsidP="00D23F0F">
                  <w:pPr>
                    <w:rPr>
                      <w:rFonts w:asciiTheme="minorHAnsi" w:hAnsiTheme="minorHAnsi"/>
                    </w:rPr>
                  </w:pPr>
                  <w:r w:rsidRPr="00B93281">
                    <w:rPr>
                      <w:rFonts w:asciiTheme="minorHAnsi" w:hAnsiTheme="minorHAnsi"/>
                    </w:rPr>
                    <w:t>COURSE OBJECTIVES</w:t>
                  </w:r>
                </w:p>
              </w:txbxContent>
            </v:textbox>
          </v:roundrect>
        </w:pict>
      </w:r>
    </w:p>
    <w:p w:rsidR="00D23F0F" w:rsidRDefault="00D23F0F" w:rsidP="00D23F0F">
      <w:pPr>
        <w:rPr>
          <w:rFonts w:asciiTheme="minorHAnsi" w:hAnsiTheme="minorHAnsi"/>
        </w:rPr>
      </w:pPr>
    </w:p>
    <w:p w:rsidR="00D23F0F" w:rsidRDefault="00D23F0F" w:rsidP="00D23F0F">
      <w:pPr>
        <w:rPr>
          <w:rFonts w:asciiTheme="minorHAnsi" w:hAnsiTheme="minorHAnsi"/>
        </w:rPr>
      </w:pPr>
    </w:p>
    <w:p w:rsidR="00D23F0F" w:rsidRPr="00D23F0F" w:rsidRDefault="00D23F0F" w:rsidP="00D23F0F">
      <w:pPr>
        <w:pStyle w:val="ListParagraph"/>
        <w:numPr>
          <w:ilvl w:val="0"/>
          <w:numId w:val="13"/>
        </w:numPr>
        <w:spacing w:after="0" w:line="240" w:lineRule="auto"/>
        <w:ind w:left="284" w:hanging="284"/>
        <w:rPr>
          <w:rFonts w:asciiTheme="minorHAnsi" w:hAnsiTheme="minorHAnsi"/>
        </w:rPr>
      </w:pPr>
      <w:r w:rsidRPr="00D23F0F">
        <w:rPr>
          <w:rFonts w:asciiTheme="minorHAnsi" w:hAnsiTheme="minorHAnsi"/>
        </w:rPr>
        <w:t>What is Ethics</w:t>
      </w:r>
    </w:p>
    <w:p w:rsidR="00D23F0F" w:rsidRPr="00D23F0F" w:rsidRDefault="00D23F0F" w:rsidP="00D23F0F">
      <w:pPr>
        <w:pStyle w:val="ListParagraph"/>
        <w:numPr>
          <w:ilvl w:val="0"/>
          <w:numId w:val="13"/>
        </w:numPr>
        <w:spacing w:after="0" w:line="240" w:lineRule="auto"/>
        <w:ind w:left="284" w:hanging="284"/>
        <w:rPr>
          <w:rFonts w:asciiTheme="minorHAnsi" w:hAnsiTheme="minorHAnsi"/>
        </w:rPr>
      </w:pPr>
      <w:r w:rsidRPr="00D23F0F">
        <w:rPr>
          <w:rFonts w:asciiTheme="minorHAnsi" w:hAnsiTheme="minorHAnsi"/>
        </w:rPr>
        <w:t>Red Flags for Ethical Issues at Board Level</w:t>
      </w:r>
    </w:p>
    <w:p w:rsidR="00D23F0F" w:rsidRPr="00D23F0F" w:rsidRDefault="00D23F0F" w:rsidP="00D23F0F">
      <w:pPr>
        <w:pStyle w:val="ListParagraph"/>
        <w:numPr>
          <w:ilvl w:val="0"/>
          <w:numId w:val="13"/>
        </w:numPr>
        <w:spacing w:after="0" w:line="240" w:lineRule="auto"/>
        <w:ind w:left="284" w:hanging="284"/>
        <w:rPr>
          <w:rFonts w:asciiTheme="minorHAnsi" w:hAnsiTheme="minorHAnsi"/>
        </w:rPr>
      </w:pPr>
      <w:r w:rsidRPr="00D23F0F">
        <w:rPr>
          <w:rFonts w:asciiTheme="minorHAnsi" w:hAnsiTheme="minorHAnsi"/>
        </w:rPr>
        <w:t>An Ethics Test for Directors</w:t>
      </w:r>
    </w:p>
    <w:p w:rsidR="00D23F0F" w:rsidRPr="00D23F0F" w:rsidRDefault="00D23F0F" w:rsidP="00D23F0F">
      <w:pPr>
        <w:pStyle w:val="ListParagraph"/>
        <w:numPr>
          <w:ilvl w:val="0"/>
          <w:numId w:val="13"/>
        </w:numPr>
        <w:spacing w:after="0" w:line="240" w:lineRule="auto"/>
        <w:ind w:left="284" w:hanging="284"/>
        <w:rPr>
          <w:rFonts w:asciiTheme="minorHAnsi" w:hAnsiTheme="minorHAnsi"/>
        </w:rPr>
      </w:pPr>
      <w:r w:rsidRPr="00D23F0F">
        <w:rPr>
          <w:rFonts w:asciiTheme="minorHAnsi" w:hAnsiTheme="minorHAnsi"/>
        </w:rPr>
        <w:t>Case Study on Ethical Issues at Board Level</w:t>
      </w:r>
    </w:p>
    <w:p w:rsidR="00D23F0F" w:rsidRDefault="00D23F0F" w:rsidP="00D23F0F">
      <w:pPr>
        <w:rPr>
          <w:rFonts w:asciiTheme="minorHAnsi" w:hAnsiTheme="minorHAnsi"/>
        </w:rPr>
      </w:pPr>
    </w:p>
    <w:p w:rsidR="00BC0460" w:rsidRDefault="00BC0460" w:rsidP="003F6F40">
      <w:pPr>
        <w:rPr>
          <w:rFonts w:asciiTheme="minorHAnsi" w:hAnsiTheme="minorHAnsi"/>
        </w:rPr>
      </w:pPr>
    </w:p>
    <w:p w:rsidR="00D23F0F" w:rsidRDefault="00D23F0F" w:rsidP="003F6F40">
      <w:pPr>
        <w:rPr>
          <w:rFonts w:asciiTheme="minorHAnsi" w:hAnsiTheme="minorHAnsi"/>
        </w:rPr>
      </w:pPr>
    </w:p>
    <w:p w:rsidR="003F6F40" w:rsidRPr="00BC0460" w:rsidRDefault="00BC0460" w:rsidP="00B374FE">
      <w:pPr>
        <w:rPr>
          <w:rFonts w:asciiTheme="minorHAnsi" w:hAnsiTheme="minorHAnsi"/>
          <w:sz w:val="20"/>
        </w:rPr>
      </w:pPr>
      <w:r>
        <w:rPr>
          <w:rFonts w:asciiTheme="minorHAnsi" w:hAnsiTheme="minorHAnsi"/>
          <w:sz w:val="20"/>
        </w:rPr>
        <w:t>C</w:t>
      </w:r>
      <w:r w:rsidR="00B374FE" w:rsidRPr="00BC0460">
        <w:rPr>
          <w:rFonts w:asciiTheme="minorHAnsi" w:hAnsiTheme="minorHAnsi"/>
          <w:sz w:val="20"/>
        </w:rPr>
        <w:t>ompany Directors / Financial Controllers &amp; Finance Managers / Accountants &amp; Auditors Company</w:t>
      </w:r>
      <w:r w:rsidR="001969FF">
        <w:rPr>
          <w:rFonts w:asciiTheme="minorHAnsi" w:hAnsiTheme="minorHAnsi"/>
          <w:sz w:val="20"/>
        </w:rPr>
        <w:t xml:space="preserve"> </w:t>
      </w:r>
      <w:r w:rsidR="00B374FE" w:rsidRPr="00BC0460">
        <w:rPr>
          <w:rFonts w:asciiTheme="minorHAnsi" w:hAnsiTheme="minorHAnsi"/>
          <w:sz w:val="20"/>
        </w:rPr>
        <w:t>Secretaries / Academicians / Fund &amp; Investment</w:t>
      </w:r>
      <w:r w:rsidR="001969FF">
        <w:rPr>
          <w:rFonts w:asciiTheme="minorHAnsi" w:hAnsiTheme="minorHAnsi"/>
          <w:sz w:val="20"/>
        </w:rPr>
        <w:t xml:space="preserve"> </w:t>
      </w:r>
      <w:r w:rsidR="00B374FE" w:rsidRPr="00BC0460">
        <w:rPr>
          <w:rFonts w:asciiTheme="minorHAnsi" w:hAnsiTheme="minorHAnsi"/>
          <w:sz w:val="20"/>
        </w:rPr>
        <w:t>Managers</w:t>
      </w:r>
    </w:p>
    <w:p w:rsidR="00B374FE" w:rsidRDefault="0053260E" w:rsidP="003F6F40">
      <w:pPr>
        <w:rPr>
          <w:rFonts w:asciiTheme="minorHAnsi" w:hAnsiTheme="minorHAnsi"/>
        </w:rPr>
      </w:pPr>
      <w:r>
        <w:rPr>
          <w:rFonts w:asciiTheme="minorHAnsi" w:hAnsiTheme="minorHAnsi"/>
          <w:noProof/>
          <w:lang w:val="en-US"/>
        </w:rPr>
        <w:pict>
          <v:roundrect id="_x0000_s1050" style="position:absolute;margin-left:-4.4pt;margin-top:7.85pt;width:150.55pt;height:23.4pt;z-index:-251652096" arcsize="10923f">
            <v:shadow on="t" offset="3pt" offset2="2pt"/>
            <v:textbox>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B374FE" w:rsidRDefault="00B374FE" w:rsidP="003F6F40">
      <w:pPr>
        <w:rPr>
          <w:rFonts w:asciiTheme="minorHAnsi" w:hAnsiTheme="minorHAnsi"/>
        </w:rPr>
      </w:pPr>
    </w:p>
    <w:p w:rsidR="003F6F40" w:rsidRPr="00B26841" w:rsidRDefault="003F6F40" w:rsidP="003F6F40">
      <w:pPr>
        <w:rPr>
          <w:rFonts w:asciiTheme="minorHAnsi" w:hAnsiTheme="minorHAnsi"/>
        </w:rPr>
      </w:pPr>
    </w:p>
    <w:p w:rsidR="00B26841" w:rsidRPr="00BC0460" w:rsidRDefault="003F6F40">
      <w:pPr>
        <w:rPr>
          <w:rFonts w:asciiTheme="minorHAnsi" w:hAnsiTheme="minorHAnsi"/>
          <w:sz w:val="20"/>
        </w:rPr>
      </w:pPr>
      <w:r w:rsidRPr="00BC0460">
        <w:rPr>
          <w:rFonts w:asciiTheme="minorHAnsi" w:hAnsiTheme="minorHAnsi"/>
          <w:sz w:val="20"/>
        </w:rPr>
        <w:t>Lectures facilitated by PowerPoint presentat</w:t>
      </w:r>
      <w:r w:rsidR="00B26841" w:rsidRPr="00BC0460">
        <w:rPr>
          <w:rFonts w:asciiTheme="minorHAnsi" w:hAnsiTheme="minorHAnsi"/>
          <w:sz w:val="20"/>
        </w:rPr>
        <w:t>ion and case studies discussion</w:t>
      </w:r>
    </w:p>
    <w:p w:rsidR="00B26841" w:rsidRDefault="0053260E">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23F0F" w:rsidP="00D23F0F">
            <w:pPr>
              <w:ind w:right="308"/>
              <w:jc w:val="both"/>
              <w:rPr>
                <w:rFonts w:asciiTheme="minorHAnsi" w:hAnsiTheme="minorHAnsi" w:cs="Segoe UI Semibold"/>
                <w:sz w:val="20"/>
              </w:rPr>
            </w:pPr>
            <w:r>
              <w:rPr>
                <w:rFonts w:asciiTheme="minorHAnsi" w:hAnsiTheme="minorHAnsi" w:cs="Segoe UI Semibold"/>
                <w:sz w:val="20"/>
              </w:rPr>
              <w:t>03</w:t>
            </w:r>
            <w:r w:rsidR="00FB169B">
              <w:rPr>
                <w:rFonts w:asciiTheme="minorHAnsi" w:hAnsiTheme="minorHAnsi" w:cs="Segoe UI Semibold"/>
                <w:sz w:val="20"/>
              </w:rPr>
              <w:t xml:space="preserve"> Nov/ 1</w:t>
            </w:r>
            <w:r>
              <w:rPr>
                <w:rFonts w:asciiTheme="minorHAnsi" w:hAnsiTheme="minorHAnsi" w:cs="Segoe UI Semibold"/>
                <w:sz w:val="20"/>
              </w:rPr>
              <w:t>6</w:t>
            </w:r>
            <w:r w:rsidR="00FB169B">
              <w:rPr>
                <w:rFonts w:asciiTheme="minorHAnsi" w:hAnsiTheme="minorHAnsi" w:cs="Segoe UI Semibold"/>
                <w:sz w:val="20"/>
              </w:rPr>
              <w:t xml:space="preserve"> Dec</w:t>
            </w:r>
            <w:r w:rsidR="006807E9">
              <w:rPr>
                <w:rFonts w:asciiTheme="minorHAnsi" w:hAnsiTheme="minorHAnsi" w:cs="Segoe UI Semibold"/>
                <w:sz w:val="20"/>
              </w:rPr>
              <w:t xml:space="preserve"> </w:t>
            </w:r>
            <w:r w:rsidR="00D90843" w:rsidRPr="00D90843">
              <w:rPr>
                <w:rFonts w:asciiTheme="minorHAnsi" w:hAnsiTheme="minorHAnsi" w:cs="Segoe UI Semibold"/>
                <w:sz w:val="20"/>
              </w:rPr>
              <w:t>2015</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23F0F"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53260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BC0460"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53260E">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3.7pt;width:258.75pt;height:82.5pt;z-index:-251586560" filled="t" fillcolor="#ffb9b9">
            <v:fill opacity="29491f"/>
          </v:shape>
        </w:pict>
      </w:r>
    </w:p>
    <w:p w:rsidR="00F928D5" w:rsidRPr="00BC0460" w:rsidRDefault="003954D3" w:rsidP="006479E6">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D23F0F" w:rsidRPr="00B26841" w:rsidRDefault="00D23F0F">
      <w:pPr>
        <w:rPr>
          <w:rFonts w:asciiTheme="minorHAnsi" w:hAnsiTheme="minorHAnsi"/>
        </w:rPr>
        <w:sectPr w:rsidR="00D23F0F" w:rsidRPr="00B26841" w:rsidSect="00800675">
          <w:type w:val="continuous"/>
          <w:pgSz w:w="11906" w:h="16838" w:code="9"/>
          <w:pgMar w:top="1440" w:right="1080" w:bottom="1440" w:left="1080" w:header="0" w:footer="0" w:gutter="0"/>
          <w:cols w:num="2" w:sep="1" w:space="567"/>
          <w:titlePg/>
          <w:docGrid w:linePitch="299"/>
        </w:sectPr>
      </w:pPr>
    </w:p>
    <w:p w:rsidR="003F6F40" w:rsidRDefault="0053260E">
      <w:r w:rsidRPr="0053260E">
        <w:rPr>
          <w:rFonts w:asciiTheme="minorHAnsi" w:hAnsiTheme="minorHAnsi"/>
          <w:noProof/>
          <w:lang w:val="en-US"/>
        </w:rPr>
        <w:lastRenderedPageBreak/>
        <w:pict>
          <v:roundrect id="_x0000_s1110" style="position:absolute;margin-left:-60pt;margin-top:1.35pt;width:538.5pt;height:149.65pt;z-index:-251665410" arcsize="10923f" fillcolor="#f2f2f2 [3052]" stroked="f"/>
        </w:pict>
      </w:r>
      <w:r w:rsidRPr="0053260E">
        <w:rPr>
          <w:rFonts w:asciiTheme="minorHAnsi" w:hAnsiTheme="minorHAnsi"/>
          <w:noProof/>
          <w:lang w:val="en-US"/>
        </w:rPr>
        <w:pict>
          <v:roundrect id="_x0000_s1052" style="position:absolute;margin-left:-42.8pt;margin-top:7.25pt;width:150.55pt;height:23.4pt;z-index:-251650048" arcsize="10923f">
            <v:shadow on="t" offset="3pt" offset2="2pt"/>
            <v:textbox>
              <w:txbxContent>
                <w:p w:rsidR="00BC0460" w:rsidRDefault="00BC0460"/>
              </w:txbxContent>
            </v:textbox>
          </v:roundrect>
        </w:pict>
      </w:r>
    </w:p>
    <w:p w:rsidR="00BC0460" w:rsidRDefault="00BC0460" w:rsidP="00BC0460">
      <w:pPr>
        <w:ind w:left="-709"/>
        <w:rPr>
          <w:rFonts w:asciiTheme="minorHAnsi" w:hAnsiTheme="minorHAnsi"/>
        </w:rPr>
        <w:sectPr w:rsidR="00BC0460" w:rsidSect="00800675">
          <w:type w:val="continuous"/>
          <w:pgSz w:w="11906" w:h="16838" w:code="9"/>
          <w:pgMar w:top="806" w:right="922" w:bottom="900" w:left="1800" w:header="0" w:footer="0" w:gutter="0"/>
          <w:cols w:space="720"/>
          <w:titlePg/>
          <w:docGrid w:linePitch="299"/>
        </w:sectPr>
      </w:pPr>
      <w:r w:rsidRPr="00D90843">
        <w:rPr>
          <w:rFonts w:asciiTheme="minorHAnsi" w:hAnsiTheme="minorHAnsi"/>
        </w:rPr>
        <w:t>PRESENTER’S PROFILE</w:t>
      </w:r>
    </w:p>
    <w:p w:rsidR="00BC0460" w:rsidRDefault="00BC0460" w:rsidP="00BC0460">
      <w:pPr>
        <w:jc w:val="both"/>
        <w:rPr>
          <w:rFonts w:asciiTheme="minorHAnsi" w:hAnsiTheme="minorHAnsi"/>
          <w:sz w:val="20"/>
        </w:rPr>
        <w:sectPr w:rsidR="00BC0460" w:rsidSect="00800675">
          <w:type w:val="continuous"/>
          <w:pgSz w:w="11906" w:h="16838" w:code="9"/>
          <w:pgMar w:top="806" w:right="922" w:bottom="900" w:left="1800" w:header="0" w:footer="0" w:gutter="0"/>
          <w:cols w:num="2" w:space="284"/>
          <w:titlePg/>
          <w:docGrid w:linePitch="299"/>
        </w:sectPr>
      </w:pPr>
    </w:p>
    <w:p w:rsidR="001969FF" w:rsidRPr="001969FF" w:rsidRDefault="001969FF" w:rsidP="001969FF">
      <w:pPr>
        <w:ind w:left="-709"/>
        <w:rPr>
          <w:rFonts w:asciiTheme="minorHAnsi" w:hAnsiTheme="minorHAnsi"/>
          <w:b/>
          <w:sz w:val="20"/>
        </w:rPr>
      </w:pPr>
      <w:r w:rsidRPr="001969FF">
        <w:rPr>
          <w:rFonts w:asciiTheme="minorHAnsi" w:hAnsiTheme="minorHAnsi"/>
          <w:b/>
          <w:sz w:val="20"/>
        </w:rPr>
        <w:lastRenderedPageBreak/>
        <w:t>MR. DEVANESAN EVANSON</w:t>
      </w:r>
    </w:p>
    <w:p w:rsidR="00D90843" w:rsidRPr="00D90843" w:rsidRDefault="001969FF" w:rsidP="001969FF">
      <w:pPr>
        <w:ind w:left="-709"/>
        <w:rPr>
          <w:rFonts w:asciiTheme="minorHAnsi" w:hAnsiTheme="minorHAnsi"/>
        </w:rPr>
      </w:pPr>
      <w:r w:rsidRPr="001969FF">
        <w:rPr>
          <w:rFonts w:asciiTheme="minorHAnsi" w:hAnsiTheme="minorHAnsi"/>
          <w:sz w:val="20"/>
        </w:rPr>
        <w:t xml:space="preserve">Mr.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w:t>
      </w:r>
      <w:proofErr w:type="spellStart"/>
      <w:r w:rsidRPr="001969FF">
        <w:rPr>
          <w:rFonts w:asciiTheme="minorHAnsi" w:hAnsiTheme="minorHAnsi"/>
          <w:sz w:val="20"/>
        </w:rPr>
        <w:t>Evanson</w:t>
      </w:r>
      <w:proofErr w:type="spellEnd"/>
      <w:r w:rsidRPr="001969FF">
        <w:rPr>
          <w:rFonts w:asciiTheme="minorHAnsi" w:hAnsiTheme="minorHAnsi"/>
          <w:sz w:val="20"/>
        </w:rPr>
        <w:t>, who holds a LLB (</w:t>
      </w:r>
      <w:proofErr w:type="spellStart"/>
      <w:r w:rsidRPr="001969FF">
        <w:rPr>
          <w:rFonts w:asciiTheme="minorHAnsi" w:hAnsiTheme="minorHAnsi"/>
          <w:sz w:val="20"/>
        </w:rPr>
        <w:t>Hons</w:t>
      </w:r>
      <w:proofErr w:type="spellEnd"/>
      <w:r w:rsidRPr="001969FF">
        <w:rPr>
          <w:rFonts w:asciiTheme="minorHAnsi" w:hAnsiTheme="minorHAnsi"/>
          <w:sz w:val="20"/>
        </w:rPr>
        <w:t>), is a fellow member of the Association of Chartered Certified</w:t>
      </w:r>
      <w:r>
        <w:rPr>
          <w:rFonts w:asciiTheme="minorHAnsi" w:hAnsiTheme="minorHAnsi"/>
          <w:sz w:val="20"/>
        </w:rPr>
        <w:t xml:space="preserve"> </w:t>
      </w:r>
      <w:r w:rsidRPr="001969FF">
        <w:rPr>
          <w:rFonts w:asciiTheme="minorHAnsi" w:hAnsiTheme="minorHAnsi"/>
          <w:sz w:val="20"/>
        </w:rPr>
        <w:t>Accountants (FCCA) and past president of the Malaysian Advisory Committee of ACCA. He is also a member of the MIA</w:t>
      </w:r>
      <w:r>
        <w:rPr>
          <w:rFonts w:asciiTheme="minorHAnsi" w:hAnsiTheme="minorHAnsi"/>
          <w:sz w:val="20"/>
        </w:rPr>
        <w:t xml:space="preserve"> </w:t>
      </w:r>
      <w:r w:rsidRPr="001969FF">
        <w:rPr>
          <w:rFonts w:asciiTheme="minorHAnsi" w:hAnsiTheme="minorHAnsi"/>
          <w:sz w:val="20"/>
        </w:rPr>
        <w:t>and a past council member of MIA. He is a Governor with IIA Malaysia and a past president.</w:t>
      </w:r>
      <w:r>
        <w:rPr>
          <w:rFonts w:asciiTheme="minorHAnsi" w:hAnsiTheme="minorHAnsi"/>
          <w:sz w:val="20"/>
        </w:rPr>
        <w:t xml:space="preserve"> </w:t>
      </w:r>
      <w:r w:rsidRPr="001969F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r>
        <w:rPr>
          <w:rFonts w:asciiTheme="minorHAnsi" w:hAnsiTheme="minorHAnsi"/>
          <w:sz w:val="20"/>
        </w:rPr>
        <w:t xml:space="preserve">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is currently a free-lance trainer in the areas of Risk, Controls, Governance, Internal Audit and Listing Requirements.</w:t>
      </w: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55500B" w:rsidP="000D57B6">
      <w:pPr>
        <w:jc w:val="center"/>
        <w:rPr>
          <w:rFonts w:asciiTheme="minorHAnsi" w:hAnsiTheme="minorHAnsi"/>
          <w:sz w:val="24"/>
          <w:szCs w:val="24"/>
        </w:rPr>
      </w:pPr>
      <w:r w:rsidRPr="0055500B">
        <w:rPr>
          <w:rFonts w:asciiTheme="majorHAnsi" w:eastAsiaTheme="majorEastAsia" w:hAnsiTheme="majorHAnsi" w:cstheme="majorBidi"/>
          <w:b/>
          <w:bCs/>
          <w:color w:val="365F91" w:themeColor="accent1" w:themeShade="BF"/>
          <w:sz w:val="36"/>
          <w:szCs w:val="36"/>
        </w:rPr>
        <w:t>Ethics Red Flags for Board of Directors</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3260E">
      <w:pPr>
        <w:rPr>
          <w:rFonts w:asciiTheme="minorHAnsi" w:hAnsiTheme="minorHAnsi"/>
          <w:sz w:val="24"/>
          <w:szCs w:val="24"/>
        </w:rPr>
      </w:pPr>
      <w:r w:rsidRPr="0053260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559"/>
        <w:gridCol w:w="284"/>
        <w:gridCol w:w="1559"/>
        <w:gridCol w:w="284"/>
        <w:gridCol w:w="1559"/>
        <w:gridCol w:w="283"/>
        <w:gridCol w:w="1559"/>
      </w:tblGrid>
      <w:tr w:rsidR="00FB169B" w:rsidRPr="00E76169" w:rsidTr="00FB169B">
        <w:tc>
          <w:tcPr>
            <w:tcW w:w="250" w:type="dxa"/>
          </w:tcPr>
          <w:p w:rsidR="00FB169B" w:rsidRPr="00E76169" w:rsidRDefault="0053260E"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559" w:type="dxa"/>
          </w:tcPr>
          <w:p w:rsidR="00FB169B" w:rsidRPr="00E76169" w:rsidRDefault="00D23F0F" w:rsidP="00C97D66">
            <w:pPr>
              <w:rPr>
                <w:rFonts w:asciiTheme="minorHAnsi" w:hAnsiTheme="minorHAnsi"/>
                <w:sz w:val="24"/>
                <w:szCs w:val="24"/>
                <w:lang w:val="en-US"/>
              </w:rPr>
            </w:pPr>
            <w:r>
              <w:rPr>
                <w:rFonts w:asciiTheme="minorHAnsi" w:hAnsiTheme="minorHAnsi"/>
                <w:sz w:val="24"/>
                <w:szCs w:val="24"/>
                <w:lang w:val="en-US"/>
              </w:rPr>
              <w:t>03</w:t>
            </w:r>
            <w:r w:rsidR="001969FF">
              <w:rPr>
                <w:rFonts w:asciiTheme="minorHAnsi" w:hAnsiTheme="minorHAnsi"/>
                <w:sz w:val="24"/>
                <w:szCs w:val="24"/>
                <w:lang w:val="en-US"/>
              </w:rPr>
              <w:t xml:space="preserve"> Nov</w:t>
            </w:r>
          </w:p>
        </w:tc>
        <w:tc>
          <w:tcPr>
            <w:tcW w:w="284" w:type="dxa"/>
          </w:tcPr>
          <w:p w:rsidR="00FB169B" w:rsidRPr="00E76169" w:rsidRDefault="0053260E" w:rsidP="00D102CC">
            <w:pPr>
              <w:rPr>
                <w:rFonts w:asciiTheme="minorHAnsi" w:hAnsiTheme="minorHAnsi"/>
                <w:sz w:val="24"/>
                <w:szCs w:val="24"/>
                <w:lang w:val="en-US"/>
              </w:rPr>
            </w:pPr>
            <w:r>
              <w:rPr>
                <w:rFonts w:asciiTheme="minorHAnsi" w:hAnsiTheme="minorHAnsi"/>
                <w:noProof/>
                <w:sz w:val="24"/>
                <w:szCs w:val="24"/>
                <w:lang w:val="en-US"/>
              </w:rPr>
              <w:pict>
                <v:rect id="_x0000_s1124" style="position:absolute;margin-left:-5.35pt;margin-top:0;width:10.65pt;height:10.05pt;z-index:251740160;mso-position-horizontal-relative:text;mso-position-vertical:bottom;mso-position-vertical-relative:margin">
                  <v:shadow on="t" offset=",3pt" offset2=",2pt"/>
                  <w10:wrap anchory="margin"/>
                </v:rect>
              </w:pict>
            </w:r>
          </w:p>
        </w:tc>
        <w:tc>
          <w:tcPr>
            <w:tcW w:w="1559" w:type="dxa"/>
          </w:tcPr>
          <w:p w:rsidR="00FB169B" w:rsidRPr="00E76169" w:rsidRDefault="001969FF" w:rsidP="00D23F0F">
            <w:pPr>
              <w:rPr>
                <w:rFonts w:asciiTheme="minorHAnsi" w:hAnsiTheme="minorHAnsi"/>
                <w:sz w:val="24"/>
                <w:szCs w:val="24"/>
                <w:lang w:val="en-US"/>
              </w:rPr>
            </w:pPr>
            <w:r>
              <w:rPr>
                <w:rFonts w:asciiTheme="minorHAnsi" w:hAnsiTheme="minorHAnsi"/>
                <w:sz w:val="24"/>
                <w:szCs w:val="24"/>
                <w:lang w:val="en-US"/>
              </w:rPr>
              <w:t>1</w:t>
            </w:r>
            <w:r w:rsidR="00D23F0F">
              <w:rPr>
                <w:rFonts w:asciiTheme="minorHAnsi" w:hAnsiTheme="minorHAnsi"/>
                <w:sz w:val="24"/>
                <w:szCs w:val="24"/>
                <w:lang w:val="en-US"/>
              </w:rPr>
              <w:t>6</w:t>
            </w:r>
            <w:r w:rsidR="00FB169B">
              <w:rPr>
                <w:rFonts w:asciiTheme="minorHAnsi" w:hAnsiTheme="minorHAnsi"/>
                <w:sz w:val="24"/>
                <w:szCs w:val="24"/>
                <w:lang w:val="en-US"/>
              </w:rPr>
              <w:t xml:space="preserve"> </w:t>
            </w:r>
            <w:r>
              <w:rPr>
                <w:rFonts w:asciiTheme="minorHAnsi" w:hAnsiTheme="minorHAnsi"/>
                <w:sz w:val="24"/>
                <w:szCs w:val="24"/>
                <w:lang w:val="en-US"/>
              </w:rPr>
              <w:t>Dec 2015</w:t>
            </w: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3260E" w:rsidP="00E76169">
      <w:pPr>
        <w:rPr>
          <w:rFonts w:asciiTheme="minorHAnsi" w:hAnsiTheme="minorHAnsi"/>
          <w:sz w:val="24"/>
          <w:szCs w:val="24"/>
        </w:rPr>
      </w:pPr>
      <w:r w:rsidRPr="0053260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1969FF" w:rsidRDefault="0053260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1969FF" w:rsidRPr="001969FF">
        <w:rPr>
          <w:rFonts w:asciiTheme="minorHAnsi" w:hAnsiTheme="minorHAnsi"/>
          <w:noProof/>
          <w:sz w:val="24"/>
          <w:szCs w:val="24"/>
          <w:lang w:val="en-US"/>
        </w:rPr>
        <w:t>mailmarsha</w:t>
      </w:r>
      <w:r w:rsidR="00387325">
        <w:rPr>
          <w:rFonts w:asciiTheme="minorHAnsi" w:hAnsiTheme="minorHAnsi"/>
          <w:noProof/>
          <w:sz w:val="24"/>
          <w:szCs w:val="24"/>
          <w:lang w:val="en-US"/>
        </w:rPr>
        <w:t>l</w:t>
      </w:r>
      <w:r w:rsidRPr="00E94F5F">
        <w:rPr>
          <w:rFonts w:asciiTheme="minorHAnsi" w:hAnsiTheme="minorHAnsi"/>
          <w:noProof/>
          <w:sz w:val="24"/>
          <w:szCs w:val="24"/>
          <w:lang w:val="en-US"/>
        </w:rPr>
        <w:t>@bursatra.com.my</w:t>
      </w:r>
    </w:p>
    <w:p w:rsidR="00E76169" w:rsidRDefault="00E76169" w:rsidP="00E76169">
      <w:pPr>
        <w:jc w:val="center"/>
        <w:rPr>
          <w:rFonts w:asciiTheme="minorHAnsi" w:hAnsiTheme="minorHAnsi"/>
          <w:sz w:val="24"/>
          <w:szCs w:val="24"/>
        </w:rPr>
      </w:pPr>
    </w:p>
    <w:p w:rsidR="00D23F0F" w:rsidRPr="00E76169" w:rsidRDefault="00D23F0F" w:rsidP="00E76169">
      <w:pPr>
        <w:jc w:val="center"/>
        <w:rPr>
          <w:rFonts w:asciiTheme="minorHAnsi" w:hAnsiTheme="minorHAnsi"/>
          <w:sz w:val="24"/>
          <w:szCs w:val="24"/>
        </w:rPr>
      </w:pPr>
    </w:p>
    <w:sectPr w:rsidR="00D23F0F"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753" w:rsidRDefault="00225753">
      <w:r>
        <w:separator/>
      </w:r>
    </w:p>
  </w:endnote>
  <w:endnote w:type="continuationSeparator" w:id="0">
    <w:p w:rsidR="00225753" w:rsidRDefault="00225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753" w:rsidRDefault="00225753">
      <w:r>
        <w:separator/>
      </w:r>
    </w:p>
  </w:footnote>
  <w:footnote w:type="continuationSeparator" w:id="0">
    <w:p w:rsidR="00225753" w:rsidRDefault="00225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3260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3260E" w:rsidP="00C24690">
    <w:pPr>
      <w:pStyle w:val="Heading5"/>
      <w:ind w:left="-810" w:hanging="90"/>
      <w:rPr>
        <w:rFonts w:ascii="Century Gothic" w:hAnsi="Century Gothic"/>
        <w:i w:val="0"/>
        <w:iCs/>
        <w:sz w:val="24"/>
        <w:szCs w:val="24"/>
      </w:rPr>
    </w:pPr>
    <w:r w:rsidRPr="0053260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3260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B3"/>
    <w:multiLevelType w:val="hybridMultilevel"/>
    <w:tmpl w:val="09B8364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F0A84"/>
    <w:multiLevelType w:val="hybridMultilevel"/>
    <w:tmpl w:val="4ED0FB14"/>
    <w:lvl w:ilvl="0" w:tplc="C8F4E6AC">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5965F7"/>
    <w:multiLevelType w:val="hybridMultilevel"/>
    <w:tmpl w:val="DEA8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11"/>
  </w:num>
  <w:num w:numId="4">
    <w:abstractNumId w:val="8"/>
  </w:num>
  <w:num w:numId="5">
    <w:abstractNumId w:val="2"/>
  </w:num>
  <w:num w:numId="6">
    <w:abstractNumId w:val="10"/>
  </w:num>
  <w:num w:numId="7">
    <w:abstractNumId w:val="7"/>
  </w:num>
  <w:num w:numId="8">
    <w:abstractNumId w:val="5"/>
  </w:num>
  <w:num w:numId="9">
    <w:abstractNumId w:val="4"/>
  </w:num>
  <w:num w:numId="10">
    <w:abstractNumId w:val="1"/>
  </w:num>
  <w:num w:numId="11">
    <w:abstractNumId w:val="9"/>
  </w:num>
  <w:num w:numId="12">
    <w:abstractNumId w:val="0"/>
  </w:num>
  <w:num w:numId="1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3554">
      <o:colormru v:ext="edit" colors="#eaeaea,aqua,#ffb9b9"/>
      <o:colormenu v:ext="edit" fillcolor="#ffb9b9" stroke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25753"/>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260E"/>
    <w:rsid w:val="005335E3"/>
    <w:rsid w:val="0053521C"/>
    <w:rsid w:val="005404B1"/>
    <w:rsid w:val="00541103"/>
    <w:rsid w:val="005451F7"/>
    <w:rsid w:val="00545568"/>
    <w:rsid w:val="0055500B"/>
    <w:rsid w:val="005632EC"/>
    <w:rsid w:val="00567340"/>
    <w:rsid w:val="00571075"/>
    <w:rsid w:val="005711E9"/>
    <w:rsid w:val="005746AE"/>
    <w:rsid w:val="00577284"/>
    <w:rsid w:val="0058399C"/>
    <w:rsid w:val="00591A8D"/>
    <w:rsid w:val="005A141B"/>
    <w:rsid w:val="005A2D6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3F0F"/>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5D97F-64BD-4E3B-8EAE-ED9038E3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3442</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Azlan</cp:lastModifiedBy>
  <cp:revision>3</cp:revision>
  <cp:lastPrinted>2015-07-06T11:13:00Z</cp:lastPrinted>
  <dcterms:created xsi:type="dcterms:W3CDTF">2015-10-21T15:59:00Z</dcterms:created>
  <dcterms:modified xsi:type="dcterms:W3CDTF">2015-10-21T18:12:00Z</dcterms:modified>
  <cp:category>CGBP</cp:category>
</cp:coreProperties>
</file>